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EB99" w14:textId="77777777" w:rsidR="005E33CC" w:rsidRDefault="005E33CC" w:rsidP="005E33CC">
      <w:pPr>
        <w:pStyle w:val="Zhlav"/>
        <w:tabs>
          <w:tab w:val="left" w:pos="708"/>
        </w:tabs>
        <w:rPr>
          <w:noProof/>
        </w:rPr>
      </w:pPr>
      <w:bookmarkStart w:id="0" w:name="_Hlk101124279"/>
      <w:bookmarkStart w:id="1" w:name="_Hlk10112438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122E" wp14:editId="6A4941BB">
                <wp:simplePos x="0" y="0"/>
                <wp:positionH relativeFrom="column">
                  <wp:posOffset>1090930</wp:posOffset>
                </wp:positionH>
                <wp:positionV relativeFrom="paragraph">
                  <wp:posOffset>433705</wp:posOffset>
                </wp:positionV>
                <wp:extent cx="4598670" cy="12763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DC96C" w14:textId="77777777" w:rsidR="005E33CC" w:rsidRDefault="005E33CC" w:rsidP="005E33CC">
                            <w:pPr>
                              <w:pStyle w:val="Nadpis1"/>
                            </w:pPr>
                            <w:r>
                              <w:t>Veřejnosprávní akademie a střední škola, s. r. o.</w:t>
                            </w:r>
                          </w:p>
                          <w:p w14:paraId="48E5174A" w14:textId="77777777" w:rsidR="005E33CC" w:rsidRDefault="005E33CC" w:rsidP="005E3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nám. Svobody 494, 696 62 Strážnice</w:t>
                            </w:r>
                          </w:p>
                          <w:p w14:paraId="17BB50AB" w14:textId="77777777" w:rsidR="005E33CC" w:rsidRDefault="005E33CC" w:rsidP="005E3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</w:t>
                            </w:r>
                          </w:p>
                          <w:p w14:paraId="08128159" w14:textId="77777777" w:rsidR="005E33CC" w:rsidRDefault="005E33CC" w:rsidP="005E33C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Tel.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518  332 262       e-mail: </w:t>
                            </w:r>
                            <w:r>
                              <w:rPr>
                                <w:b/>
                              </w:rPr>
                              <w:t>info@hs-straznice.cz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IČO : 25342193</w:t>
                            </w:r>
                          </w:p>
                          <w:p w14:paraId="48F8E2E9" w14:textId="77777777" w:rsidR="005E33CC" w:rsidRDefault="005E33CC" w:rsidP="005E33C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Tel. /fax. 518 332 898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F122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5.9pt;margin-top:34.15pt;width:362.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" stroked="f">
                <v:textbox>
                  <w:txbxContent>
                    <w:p w14:paraId="61BDC96C" w14:textId="77777777" w:rsidR="005E33CC" w:rsidRDefault="005E33CC" w:rsidP="005E33CC">
                      <w:pPr>
                        <w:pStyle w:val="Nadpis1"/>
                      </w:pPr>
                      <w:r>
                        <w:t>Veřejnosprávní akademie a střední škola, s. r. o.</w:t>
                      </w:r>
                    </w:p>
                    <w:p w14:paraId="48E5174A" w14:textId="77777777" w:rsidR="005E33CC" w:rsidRDefault="005E33CC" w:rsidP="005E33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nám. Svobody 494, 696 62 Strážnice</w:t>
                      </w:r>
                    </w:p>
                    <w:p w14:paraId="17BB50AB" w14:textId="77777777" w:rsidR="005E33CC" w:rsidRDefault="005E33CC" w:rsidP="005E33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</w:t>
                      </w:r>
                    </w:p>
                    <w:p w14:paraId="08128159" w14:textId="77777777" w:rsidR="005E33CC" w:rsidRDefault="005E33CC" w:rsidP="005E33C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Tel. </w:t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518  332 262       e-mail: </w:t>
                      </w:r>
                      <w:r>
                        <w:rPr>
                          <w:b/>
                        </w:rPr>
                        <w:t>info@hs-straznice.cz</w:t>
                      </w:r>
                      <w:r>
                        <w:rPr>
                          <w:b/>
                          <w:sz w:val="18"/>
                        </w:rPr>
                        <w:t xml:space="preserve">          IČO : 25342193</w:t>
                      </w:r>
                    </w:p>
                    <w:p w14:paraId="48F8E2E9" w14:textId="77777777" w:rsidR="005E33CC" w:rsidRDefault="005E33CC" w:rsidP="005E33C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Tel. /fax. 518 332 898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CC1616" w14:textId="77777777" w:rsidR="005E33CC" w:rsidRDefault="005E33CC" w:rsidP="005E33CC">
      <w:pPr>
        <w:pStyle w:val="Zhlav"/>
        <w:tabs>
          <w:tab w:val="left" w:pos="708"/>
        </w:tabs>
        <w:rPr>
          <w:noProof/>
        </w:rPr>
      </w:pPr>
    </w:p>
    <w:p w14:paraId="7C782B19" w14:textId="77777777" w:rsidR="005E33CC" w:rsidRDefault="005E33CC" w:rsidP="005E33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6B86AA" wp14:editId="1319F889">
            <wp:simplePos x="0" y="0"/>
            <wp:positionH relativeFrom="column">
              <wp:posOffset>-506095</wp:posOffset>
            </wp:positionH>
            <wp:positionV relativeFrom="paragraph">
              <wp:posOffset>-171450</wp:posOffset>
            </wp:positionV>
            <wp:extent cx="1262380" cy="1262380"/>
            <wp:effectExtent l="0" t="0" r="0" b="0"/>
            <wp:wrapTopAndBottom/>
            <wp:docPr id="1" name="Obrázek 1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33" r="-7692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</w:t>
      </w:r>
    </w:p>
    <w:p w14:paraId="291A4782" w14:textId="77777777" w:rsidR="005E33CC" w:rsidRPr="00771159" w:rsidRDefault="005E33CC" w:rsidP="005E33CC">
      <w:pPr>
        <w:jc w:val="center"/>
        <w:rPr>
          <w:b/>
          <w:bCs/>
          <w:noProof/>
          <w:sz w:val="32"/>
          <w:szCs w:val="32"/>
        </w:rPr>
      </w:pPr>
      <w:r w:rsidRPr="00771159">
        <w:rPr>
          <w:b/>
          <w:bCs/>
          <w:noProof/>
          <w:sz w:val="32"/>
          <w:szCs w:val="32"/>
        </w:rPr>
        <w:t>Zkouška z českého jazyka v profilové části maturitní zkoušky</w:t>
      </w:r>
    </w:p>
    <w:p w14:paraId="70360F94" w14:textId="77777777" w:rsidR="005E33CC" w:rsidRPr="00771159" w:rsidRDefault="005E33CC" w:rsidP="005E33CC">
      <w:pPr>
        <w:jc w:val="center"/>
        <w:rPr>
          <w:b/>
          <w:bCs/>
          <w:noProof/>
          <w:sz w:val="32"/>
          <w:szCs w:val="32"/>
        </w:rPr>
      </w:pPr>
      <w:r w:rsidRPr="00771159">
        <w:rPr>
          <w:b/>
          <w:bCs/>
          <w:noProof/>
          <w:sz w:val="32"/>
          <w:szCs w:val="32"/>
        </w:rPr>
        <w:t>ČESKÝ JAZYK</w:t>
      </w:r>
    </w:p>
    <w:p w14:paraId="65009A4C" w14:textId="5CD73E7B" w:rsidR="005E33CC" w:rsidRPr="00771159" w:rsidRDefault="005E33CC" w:rsidP="005E33CC">
      <w:pPr>
        <w:jc w:val="center"/>
        <w:rPr>
          <w:b/>
          <w:bCs/>
          <w:noProof/>
          <w:sz w:val="32"/>
          <w:szCs w:val="32"/>
        </w:rPr>
      </w:pPr>
      <w:r w:rsidRPr="00771159">
        <w:rPr>
          <w:b/>
          <w:bCs/>
          <w:noProof/>
          <w:sz w:val="32"/>
          <w:szCs w:val="32"/>
        </w:rPr>
        <w:t>Školní rok: 202</w:t>
      </w:r>
      <w:r w:rsidR="00D94379">
        <w:rPr>
          <w:b/>
          <w:bCs/>
          <w:noProof/>
          <w:sz w:val="32"/>
          <w:szCs w:val="32"/>
        </w:rPr>
        <w:t>3</w:t>
      </w:r>
      <w:r w:rsidRPr="00771159">
        <w:rPr>
          <w:b/>
          <w:bCs/>
          <w:noProof/>
          <w:sz w:val="32"/>
          <w:szCs w:val="32"/>
        </w:rPr>
        <w:t>/202</w:t>
      </w:r>
      <w:r w:rsidR="00D94379">
        <w:rPr>
          <w:b/>
          <w:bCs/>
          <w:noProof/>
          <w:sz w:val="32"/>
          <w:szCs w:val="32"/>
        </w:rPr>
        <w:t>4</w:t>
      </w:r>
    </w:p>
    <w:bookmarkEnd w:id="0"/>
    <w:p w14:paraId="632C476C" w14:textId="77777777" w:rsidR="005E33CC" w:rsidRDefault="005E33CC" w:rsidP="005E33CC">
      <w:pPr>
        <w:rPr>
          <w:noProof/>
        </w:rPr>
      </w:pPr>
    </w:p>
    <w:bookmarkEnd w:id="1"/>
    <w:p w14:paraId="7AAF5747" w14:textId="6C093ED0" w:rsidR="003A19F3" w:rsidRPr="00A43CE1" w:rsidRDefault="003A19F3" w:rsidP="00A43CE1">
      <w:pPr>
        <w:jc w:val="center"/>
        <w:rPr>
          <w:b/>
          <w:bCs/>
          <w:sz w:val="28"/>
          <w:szCs w:val="28"/>
        </w:rPr>
      </w:pPr>
      <w:r w:rsidRPr="00A43CE1">
        <w:rPr>
          <w:b/>
          <w:bCs/>
          <w:sz w:val="28"/>
          <w:szCs w:val="28"/>
        </w:rPr>
        <w:t>Kritéria hodnocení ústní zkoušky z českého jazyka a literatury</w:t>
      </w:r>
    </w:p>
    <w:p w14:paraId="392368A5" w14:textId="77777777" w:rsidR="00A43CE1" w:rsidRDefault="00A43CE1" w:rsidP="002E279B">
      <w:pPr>
        <w:spacing w:line="360" w:lineRule="auto"/>
      </w:pPr>
    </w:p>
    <w:p w14:paraId="4BCC017F" w14:textId="1DC44DEA" w:rsidR="003A19F3" w:rsidRDefault="00E33BD7" w:rsidP="002E279B">
      <w:pPr>
        <w:spacing w:line="360" w:lineRule="auto"/>
      </w:pPr>
      <w:r>
        <w:t>Žák si vylosuje zadán</w:t>
      </w:r>
      <w:r w:rsidR="00A43CE1">
        <w:t>í (knihu)</w:t>
      </w:r>
      <w:r>
        <w:t xml:space="preserve"> ze svého seznamu četby. Poté dostane </w:t>
      </w:r>
      <w:r w:rsidR="00625708">
        <w:rPr>
          <w:b/>
          <w:bCs/>
        </w:rPr>
        <w:t>15</w:t>
      </w:r>
      <w:r w:rsidRPr="00A43CE1">
        <w:rPr>
          <w:b/>
          <w:bCs/>
        </w:rPr>
        <w:t xml:space="preserve"> minut</w:t>
      </w:r>
      <w:r>
        <w:t xml:space="preserve"> na přípravu na „potítku“. </w:t>
      </w:r>
    </w:p>
    <w:p w14:paraId="0ECC3D5E" w14:textId="35892D56" w:rsidR="003A19F3" w:rsidRDefault="003A19F3" w:rsidP="002E279B">
      <w:pPr>
        <w:spacing w:line="360" w:lineRule="auto"/>
      </w:pPr>
      <w:r>
        <w:t xml:space="preserve">Čas, který je věnován jednotlivým částem ústní zkoušky, by měl odpovídat jejich podílu na bodovém hodnocení ústní zkoušky. </w:t>
      </w:r>
      <w:r w:rsidRPr="00A43CE1">
        <w:rPr>
          <w:b/>
          <w:bCs/>
        </w:rPr>
        <w:t>Zkouška trvá 15 minut</w:t>
      </w:r>
      <w:r>
        <w:t xml:space="preserve">. Vzhledem k zadání zkoušky, kterým je literární dílo, by analýze uměleckého textu a charakteristice literárněhistorického kontextu měly být věnovány 2/3 celkové časové dotace (orientačně tedy 10 min) a analýze neuměleckého textu 1/3 celkové časové dotace (orientačně tedy 5 min). </w:t>
      </w:r>
    </w:p>
    <w:p w14:paraId="252BE5EA" w14:textId="2BC68F13" w:rsidR="00E33BD7" w:rsidRPr="00A43CE1" w:rsidRDefault="00E33BD7" w:rsidP="002E279B">
      <w:pPr>
        <w:spacing w:line="360" w:lineRule="auto"/>
        <w:rPr>
          <w:b/>
          <w:bCs/>
        </w:rPr>
      </w:pPr>
      <w:r>
        <w:t>Žák je hodnocen v 7 oblastech, prvních šest oblastí odpovídá tabulce.</w:t>
      </w:r>
      <w:r w:rsidR="002623E7">
        <w:t xml:space="preserve"> V každé oblasti může žák získat maximálně 4</w:t>
      </w:r>
      <w:r w:rsidR="00A43CE1">
        <w:t xml:space="preserve"> </w:t>
      </w:r>
      <w:r w:rsidR="002623E7">
        <w:t xml:space="preserve">body. </w:t>
      </w:r>
      <w:r>
        <w:t xml:space="preserve"> </w:t>
      </w:r>
      <w:r w:rsidRPr="00A43CE1">
        <w:rPr>
          <w:b/>
          <w:bCs/>
        </w:rPr>
        <w:t>Nejvýše může získat 28 bodů za celou zkoušku.</w:t>
      </w:r>
      <w:r w:rsidR="002623E7" w:rsidRPr="00A43CE1">
        <w:rPr>
          <w:b/>
          <w:bCs/>
        </w:rPr>
        <w:t xml:space="preserve"> </w:t>
      </w:r>
    </w:p>
    <w:p w14:paraId="5A149F09" w14:textId="084BD29C" w:rsidR="003A19F3" w:rsidRDefault="003A19F3" w:rsidP="002E279B">
      <w:pPr>
        <w:spacing w:line="360" w:lineRule="auto"/>
      </w:pPr>
      <w:r>
        <w:t>Poslední oblastí, v níž je žák hodnocen, je kritérium výpověď v souladu s jazykovými normami a se zásadami jazykové kultury. Hodnocení žáka v tomto kritériu je založeno na jeho výkonu v průběhu celé zkoušky, žák může být hodnocen maximálně 4 body. Detaily procesu hodnocení jsou předmětem metodických materiálů.</w:t>
      </w:r>
    </w:p>
    <w:p w14:paraId="7F611655" w14:textId="4652BC9C" w:rsidR="002623E7" w:rsidRDefault="002623E7" w:rsidP="002E279B">
      <w:pPr>
        <w:spacing w:line="360" w:lineRule="auto"/>
      </w:pPr>
      <w:r>
        <w:t xml:space="preserve">Aby žák splnil ÚSTNÍ ZKOUŠKU Z ČESKÉHO JAZYKA A LITERATURY, musí dosáhnout </w:t>
      </w:r>
      <w:r w:rsidRPr="00A43CE1">
        <w:rPr>
          <w:b/>
          <w:bCs/>
        </w:rPr>
        <w:t>minimálně 13 bodů</w:t>
      </w:r>
      <w:r>
        <w:t xml:space="preserve"> a splnit všechny vnitřní podmínky hodnocení ústní maturitní zkoušky. </w:t>
      </w:r>
    </w:p>
    <w:p w14:paraId="6F1A854F" w14:textId="67792354" w:rsidR="0058613E" w:rsidRDefault="0058613E" w:rsidP="002E279B">
      <w:pPr>
        <w:spacing w:line="360" w:lineRule="auto"/>
      </w:pPr>
    </w:p>
    <w:p w14:paraId="61A65E5B" w14:textId="77777777" w:rsidR="0008466F" w:rsidRDefault="0008466F">
      <w:pPr>
        <w:rPr>
          <w:b/>
          <w:bCs/>
        </w:rPr>
      </w:pPr>
      <w:r>
        <w:rPr>
          <w:b/>
          <w:bCs/>
        </w:rPr>
        <w:br w:type="page"/>
      </w:r>
    </w:p>
    <w:p w14:paraId="2D4D42A1" w14:textId="64490DE1" w:rsidR="0058613E" w:rsidRPr="0008466F" w:rsidRDefault="0058613E" w:rsidP="002623E7">
      <w:pPr>
        <w:rPr>
          <w:b/>
          <w:bCs/>
        </w:rPr>
      </w:pPr>
      <w:r w:rsidRPr="0008466F">
        <w:rPr>
          <w:b/>
          <w:bCs/>
        </w:rPr>
        <w:lastRenderedPageBreak/>
        <w:t>Obecná struktura rozboru uměleckého a neuměleckého textu</w:t>
      </w:r>
    </w:p>
    <w:tbl>
      <w:tblPr>
        <w:tblStyle w:val="Mkatabulky"/>
        <w:tblpPr w:leftFromText="142" w:rightFromText="142" w:vertAnchor="text" w:horzAnchor="margin" w:tblpY="296"/>
        <w:tblOverlap w:val="never"/>
        <w:tblW w:w="9351" w:type="dxa"/>
        <w:tblLook w:val="04A0" w:firstRow="1" w:lastRow="0" w:firstColumn="1" w:lastColumn="0" w:noHBand="0" w:noVBand="1"/>
      </w:tblPr>
      <w:tblGrid>
        <w:gridCol w:w="2911"/>
        <w:gridCol w:w="1655"/>
        <w:gridCol w:w="4785"/>
      </w:tblGrid>
      <w:tr w:rsidR="0058613E" w:rsidRPr="009562E5" w14:paraId="358B27FB" w14:textId="77777777" w:rsidTr="00927823"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E3649" w14:textId="1A75338B" w:rsidR="0058613E" w:rsidRPr="009562E5" w:rsidRDefault="0058613E" w:rsidP="00927823">
            <w:pPr>
              <w:spacing w:before="120" w:after="120"/>
              <w:rPr>
                <w:b/>
                <w:bCs/>
              </w:rPr>
            </w:pPr>
            <w:r w:rsidRPr="009562E5">
              <w:rPr>
                <w:b/>
                <w:bCs/>
              </w:rPr>
              <w:t>Kritérium</w:t>
            </w:r>
          </w:p>
        </w:tc>
        <w:tc>
          <w:tcPr>
            <w:tcW w:w="64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A74AE" w14:textId="33079E5A" w:rsidR="0058613E" w:rsidRPr="009562E5" w:rsidRDefault="0058613E" w:rsidP="00927823">
            <w:pPr>
              <w:spacing w:before="120" w:after="120"/>
              <w:rPr>
                <w:b/>
                <w:bCs/>
              </w:rPr>
            </w:pPr>
            <w:r w:rsidRPr="009562E5">
              <w:rPr>
                <w:b/>
                <w:bCs/>
              </w:rPr>
              <w:t>Ověřované vědomosti a znalosti</w:t>
            </w:r>
          </w:p>
        </w:tc>
      </w:tr>
      <w:tr w:rsidR="000B07EF" w14:paraId="2162EE8C" w14:textId="77777777" w:rsidTr="00927823">
        <w:tc>
          <w:tcPr>
            <w:tcW w:w="2911" w:type="dxa"/>
            <w:vMerge w:val="restart"/>
            <w:tcBorders>
              <w:top w:val="single" w:sz="12" w:space="0" w:color="auto"/>
            </w:tcBorders>
          </w:tcPr>
          <w:p w14:paraId="2D76E998" w14:textId="7637A110" w:rsidR="000B07EF" w:rsidRDefault="000B07EF" w:rsidP="00927823">
            <w:pPr>
              <w:spacing w:before="120" w:after="120"/>
            </w:pPr>
            <w:r>
              <w:t>Analýza uměleckého textu</w:t>
            </w:r>
          </w:p>
        </w:tc>
        <w:tc>
          <w:tcPr>
            <w:tcW w:w="1655" w:type="dxa"/>
            <w:tcBorders>
              <w:top w:val="single" w:sz="12" w:space="0" w:color="auto"/>
            </w:tcBorders>
          </w:tcPr>
          <w:p w14:paraId="45EC2A09" w14:textId="4A70C360" w:rsidR="000B07EF" w:rsidRDefault="00C55ED7" w:rsidP="00927823">
            <w:pPr>
              <w:spacing w:before="120" w:after="120"/>
            </w:pPr>
            <w:r>
              <w:t xml:space="preserve">I. </w:t>
            </w:r>
            <w:r w:rsidR="006C5A31">
              <w:t>část</w:t>
            </w:r>
          </w:p>
        </w:tc>
        <w:tc>
          <w:tcPr>
            <w:tcW w:w="4785" w:type="dxa"/>
            <w:tcBorders>
              <w:top w:val="single" w:sz="12" w:space="0" w:color="auto"/>
            </w:tcBorders>
          </w:tcPr>
          <w:p w14:paraId="7DC5CED8" w14:textId="77777777" w:rsidR="006C5A31" w:rsidRDefault="006C5A31" w:rsidP="00927823">
            <w:pPr>
              <w:spacing w:before="120" w:after="120"/>
            </w:pPr>
            <w:r>
              <w:t xml:space="preserve">• zasazení výňatku do kontextu díla </w:t>
            </w:r>
          </w:p>
          <w:p w14:paraId="31090719" w14:textId="77777777" w:rsidR="006C5A31" w:rsidRDefault="006C5A31" w:rsidP="00927823">
            <w:pPr>
              <w:spacing w:before="120" w:after="120"/>
            </w:pPr>
            <w:r>
              <w:t xml:space="preserve">• téma a motiv </w:t>
            </w:r>
          </w:p>
          <w:p w14:paraId="4565BBD1" w14:textId="77777777" w:rsidR="006C5A31" w:rsidRDefault="006C5A31" w:rsidP="00927823">
            <w:pPr>
              <w:spacing w:before="120" w:after="120"/>
            </w:pPr>
            <w:r>
              <w:t xml:space="preserve">• časoprostor </w:t>
            </w:r>
          </w:p>
          <w:p w14:paraId="278EEB78" w14:textId="77777777" w:rsidR="006C5A31" w:rsidRDefault="006C5A31" w:rsidP="00927823">
            <w:pPr>
              <w:spacing w:before="120" w:after="120"/>
            </w:pPr>
            <w:r>
              <w:t>• kompoziční výstavba</w:t>
            </w:r>
          </w:p>
          <w:p w14:paraId="10156F7E" w14:textId="30EC230D" w:rsidR="000B07EF" w:rsidRDefault="006C5A31" w:rsidP="00927823">
            <w:pPr>
              <w:spacing w:before="120" w:after="120"/>
            </w:pPr>
            <w:r>
              <w:t>• literární druh a žánr</w:t>
            </w:r>
          </w:p>
        </w:tc>
      </w:tr>
      <w:tr w:rsidR="000B07EF" w14:paraId="024F35D1" w14:textId="77777777" w:rsidTr="00927823">
        <w:tc>
          <w:tcPr>
            <w:tcW w:w="2911" w:type="dxa"/>
            <w:vMerge/>
          </w:tcPr>
          <w:p w14:paraId="6B66260E" w14:textId="77777777" w:rsidR="000B07EF" w:rsidRDefault="000B07EF" w:rsidP="00927823">
            <w:pPr>
              <w:spacing w:before="120" w:after="120"/>
            </w:pPr>
          </w:p>
        </w:tc>
        <w:tc>
          <w:tcPr>
            <w:tcW w:w="1655" w:type="dxa"/>
          </w:tcPr>
          <w:p w14:paraId="48CEE5F0" w14:textId="028AD78D" w:rsidR="000B07EF" w:rsidRDefault="00C55ED7" w:rsidP="00927823">
            <w:pPr>
              <w:spacing w:before="120" w:after="120"/>
            </w:pPr>
            <w:r>
              <w:t xml:space="preserve">II. </w:t>
            </w:r>
            <w:r w:rsidR="006C5A31">
              <w:t>část</w:t>
            </w:r>
          </w:p>
        </w:tc>
        <w:tc>
          <w:tcPr>
            <w:tcW w:w="4785" w:type="dxa"/>
          </w:tcPr>
          <w:p w14:paraId="475C9E62" w14:textId="038AC3F0" w:rsidR="006C5A31" w:rsidRDefault="006C5A31" w:rsidP="00927823">
            <w:pPr>
              <w:spacing w:before="120" w:after="120"/>
            </w:pPr>
            <w:r>
              <w:t>• vypravěč/lyrický subjekt</w:t>
            </w:r>
          </w:p>
          <w:p w14:paraId="568455A3" w14:textId="77777777" w:rsidR="006C5A31" w:rsidRDefault="006C5A31" w:rsidP="00927823">
            <w:pPr>
              <w:spacing w:before="120" w:after="120"/>
            </w:pPr>
            <w:r>
              <w:t>• postavy</w:t>
            </w:r>
          </w:p>
          <w:p w14:paraId="0E3856D4" w14:textId="26BE5BD5" w:rsidR="006C5A31" w:rsidRDefault="006C5A31" w:rsidP="00927823">
            <w:pPr>
              <w:spacing w:before="120" w:after="120"/>
            </w:pPr>
            <w:r>
              <w:t>• typy promluv</w:t>
            </w:r>
          </w:p>
          <w:p w14:paraId="445815F5" w14:textId="6FD5C5D4" w:rsidR="000B07EF" w:rsidRDefault="006C5A31" w:rsidP="00927823">
            <w:pPr>
              <w:spacing w:before="120" w:after="120"/>
            </w:pPr>
            <w:r>
              <w:t>• veršová výstavba</w:t>
            </w:r>
          </w:p>
        </w:tc>
      </w:tr>
      <w:tr w:rsidR="000B07EF" w14:paraId="29C8F6E6" w14:textId="77777777" w:rsidTr="00927823">
        <w:tc>
          <w:tcPr>
            <w:tcW w:w="2911" w:type="dxa"/>
            <w:vMerge/>
          </w:tcPr>
          <w:p w14:paraId="33D0564A" w14:textId="344F3FC2" w:rsidR="000B07EF" w:rsidRDefault="000B07EF" w:rsidP="00927823">
            <w:pPr>
              <w:spacing w:before="120" w:after="120"/>
            </w:pPr>
          </w:p>
        </w:tc>
        <w:tc>
          <w:tcPr>
            <w:tcW w:w="1655" w:type="dxa"/>
          </w:tcPr>
          <w:p w14:paraId="5A8B13AC" w14:textId="07D91E1E" w:rsidR="000B07EF" w:rsidRDefault="00C55ED7" w:rsidP="00927823">
            <w:pPr>
              <w:spacing w:before="120" w:after="120"/>
            </w:pPr>
            <w:r>
              <w:t xml:space="preserve">III. </w:t>
            </w:r>
            <w:r w:rsidR="006C5A31">
              <w:t>část</w:t>
            </w:r>
          </w:p>
        </w:tc>
        <w:tc>
          <w:tcPr>
            <w:tcW w:w="4785" w:type="dxa"/>
          </w:tcPr>
          <w:p w14:paraId="36AE7756" w14:textId="77777777" w:rsidR="006C5A31" w:rsidRDefault="006C5A31" w:rsidP="00927823">
            <w:pPr>
              <w:spacing w:before="120" w:after="120"/>
            </w:pPr>
            <w:r>
              <w:t xml:space="preserve">• jazykové prostředky a jejich funkce ve výňatku </w:t>
            </w:r>
          </w:p>
          <w:p w14:paraId="247EA692" w14:textId="20354540" w:rsidR="000B07EF" w:rsidRDefault="006C5A31" w:rsidP="00927823">
            <w:pPr>
              <w:spacing w:before="120" w:after="120"/>
            </w:pPr>
            <w:r>
              <w:t>• tropy a figury a jejich funkce ve výňatku</w:t>
            </w:r>
          </w:p>
        </w:tc>
      </w:tr>
      <w:tr w:rsidR="000B07EF" w14:paraId="7BF1FF54" w14:textId="77777777" w:rsidTr="00927823">
        <w:tc>
          <w:tcPr>
            <w:tcW w:w="2911" w:type="dxa"/>
          </w:tcPr>
          <w:p w14:paraId="1DB49073" w14:textId="5F4DB8D6" w:rsidR="000B07EF" w:rsidRDefault="000B07EF" w:rsidP="00927823">
            <w:pPr>
              <w:spacing w:before="120" w:after="120"/>
            </w:pPr>
            <w:r>
              <w:t>Literárně historický kontext literárního díla</w:t>
            </w:r>
          </w:p>
        </w:tc>
        <w:tc>
          <w:tcPr>
            <w:tcW w:w="6440" w:type="dxa"/>
            <w:gridSpan w:val="2"/>
          </w:tcPr>
          <w:p w14:paraId="049D307F" w14:textId="77777777" w:rsidR="0058613E" w:rsidRDefault="0058613E" w:rsidP="00927823">
            <w:pPr>
              <w:spacing w:before="120" w:after="120"/>
              <w:ind w:firstLine="1649"/>
            </w:pPr>
            <w:r>
              <w:t xml:space="preserve">• kontext autorovy tvorby </w:t>
            </w:r>
          </w:p>
          <w:p w14:paraId="33165CC7" w14:textId="6CA4AD67" w:rsidR="000B07EF" w:rsidRDefault="0058613E" w:rsidP="00927823">
            <w:pPr>
              <w:spacing w:before="120" w:after="120"/>
              <w:ind w:firstLine="1649"/>
            </w:pPr>
            <w:r>
              <w:t>• literární/obecně kulturní kontext</w:t>
            </w:r>
          </w:p>
        </w:tc>
      </w:tr>
      <w:tr w:rsidR="0058613E" w14:paraId="5A3FA35B" w14:textId="77777777" w:rsidTr="00927823">
        <w:tc>
          <w:tcPr>
            <w:tcW w:w="2911" w:type="dxa"/>
            <w:vMerge w:val="restart"/>
          </w:tcPr>
          <w:p w14:paraId="0DDD2CD5" w14:textId="7399ACDD" w:rsidR="000B07EF" w:rsidRDefault="006C5A31" w:rsidP="00927823">
            <w:pPr>
              <w:spacing w:before="120" w:after="120"/>
            </w:pPr>
            <w:r>
              <w:t>Analýza neuměleckého textu</w:t>
            </w:r>
          </w:p>
        </w:tc>
        <w:tc>
          <w:tcPr>
            <w:tcW w:w="1655" w:type="dxa"/>
          </w:tcPr>
          <w:p w14:paraId="790DAFD5" w14:textId="31B7E583" w:rsidR="000B07EF" w:rsidRDefault="00C55ED7" w:rsidP="00927823">
            <w:pPr>
              <w:spacing w:before="120" w:after="120"/>
            </w:pPr>
            <w:r>
              <w:t xml:space="preserve">I. </w:t>
            </w:r>
            <w:r w:rsidR="006C5A31">
              <w:t>část</w:t>
            </w:r>
          </w:p>
        </w:tc>
        <w:tc>
          <w:tcPr>
            <w:tcW w:w="4785" w:type="dxa"/>
          </w:tcPr>
          <w:p w14:paraId="60024993" w14:textId="77777777" w:rsidR="0058613E" w:rsidRDefault="0058613E" w:rsidP="00927823">
            <w:pPr>
              <w:spacing w:before="120" w:after="120"/>
            </w:pPr>
            <w:r>
              <w:t xml:space="preserve">• souvislost mezi výňatky </w:t>
            </w:r>
          </w:p>
          <w:p w14:paraId="2CD54A53" w14:textId="2A8BBB43" w:rsidR="0058613E" w:rsidRDefault="0058613E" w:rsidP="00927823">
            <w:pPr>
              <w:spacing w:before="120" w:after="120"/>
            </w:pPr>
            <w:r>
              <w:t>• hlavní myšlenka textu</w:t>
            </w:r>
          </w:p>
          <w:p w14:paraId="6B947951" w14:textId="77777777" w:rsidR="0058613E" w:rsidRDefault="0058613E" w:rsidP="00927823">
            <w:pPr>
              <w:spacing w:before="120" w:after="120"/>
            </w:pPr>
            <w:r>
              <w:t>• podstatné a nepodstatné informace</w:t>
            </w:r>
          </w:p>
          <w:p w14:paraId="51F1DE6B" w14:textId="77777777" w:rsidR="0058613E" w:rsidRDefault="0058613E" w:rsidP="00927823">
            <w:pPr>
              <w:spacing w:before="120" w:after="120"/>
            </w:pPr>
            <w:r>
              <w:t xml:space="preserve"> • domněnky a fakta</w:t>
            </w:r>
          </w:p>
          <w:p w14:paraId="1D1F7106" w14:textId="2AB08BD9" w:rsidR="000B07EF" w:rsidRDefault="0058613E" w:rsidP="00927823">
            <w:pPr>
              <w:spacing w:before="120" w:after="120"/>
            </w:pPr>
            <w:r>
              <w:t>• komunikační situace (např. účel, adresát)</w:t>
            </w:r>
          </w:p>
        </w:tc>
      </w:tr>
      <w:tr w:rsidR="0058613E" w14:paraId="2FB3F19F" w14:textId="77777777" w:rsidTr="00927823">
        <w:trPr>
          <w:trHeight w:val="900"/>
        </w:trPr>
        <w:tc>
          <w:tcPr>
            <w:tcW w:w="2911" w:type="dxa"/>
            <w:vMerge/>
          </w:tcPr>
          <w:p w14:paraId="566AD264" w14:textId="77777777" w:rsidR="000B07EF" w:rsidRDefault="000B07EF" w:rsidP="00927823">
            <w:pPr>
              <w:spacing w:before="120" w:after="120"/>
            </w:pPr>
          </w:p>
        </w:tc>
        <w:tc>
          <w:tcPr>
            <w:tcW w:w="1655" w:type="dxa"/>
          </w:tcPr>
          <w:p w14:paraId="5B163B97" w14:textId="18224B23" w:rsidR="000B07EF" w:rsidRDefault="00C55ED7" w:rsidP="00927823">
            <w:pPr>
              <w:spacing w:before="120" w:after="120"/>
            </w:pPr>
            <w:r>
              <w:t xml:space="preserve">II. </w:t>
            </w:r>
            <w:r w:rsidR="006C5A31">
              <w:t>část</w:t>
            </w:r>
          </w:p>
        </w:tc>
        <w:tc>
          <w:tcPr>
            <w:tcW w:w="4785" w:type="dxa"/>
          </w:tcPr>
          <w:p w14:paraId="03BA9C68" w14:textId="77777777" w:rsidR="0058613E" w:rsidRDefault="0058613E" w:rsidP="00927823">
            <w:pPr>
              <w:spacing w:before="120" w:after="120"/>
            </w:pPr>
            <w:r>
              <w:t xml:space="preserve">• funkční styl </w:t>
            </w:r>
          </w:p>
          <w:p w14:paraId="3AF29888" w14:textId="77777777" w:rsidR="0058613E" w:rsidRDefault="0058613E" w:rsidP="00927823">
            <w:pPr>
              <w:spacing w:before="120" w:after="120"/>
            </w:pPr>
            <w:r>
              <w:t xml:space="preserve">• slohový postup </w:t>
            </w:r>
          </w:p>
          <w:p w14:paraId="305F80C4" w14:textId="77777777" w:rsidR="0058613E" w:rsidRDefault="0058613E" w:rsidP="00927823">
            <w:pPr>
              <w:spacing w:before="120" w:after="120"/>
            </w:pPr>
            <w:r>
              <w:t xml:space="preserve">• slohový útvar </w:t>
            </w:r>
          </w:p>
          <w:p w14:paraId="3885019F" w14:textId="77777777" w:rsidR="0058613E" w:rsidRDefault="0058613E" w:rsidP="00927823">
            <w:pPr>
              <w:spacing w:before="120" w:after="120"/>
            </w:pPr>
            <w:r>
              <w:t xml:space="preserve">• kompoziční výstavba výňatku </w:t>
            </w:r>
          </w:p>
          <w:p w14:paraId="7EF8F3F5" w14:textId="5ADBACE7" w:rsidR="000B07EF" w:rsidRDefault="0058613E" w:rsidP="00927823">
            <w:pPr>
              <w:spacing w:before="120" w:after="120"/>
            </w:pPr>
            <w:r>
              <w:t>• jazykové prostředky a jejich funkce ve výňatku</w:t>
            </w:r>
          </w:p>
        </w:tc>
      </w:tr>
    </w:tbl>
    <w:p w14:paraId="2FE2623C" w14:textId="77777777" w:rsidR="00FD1377" w:rsidRDefault="00FD1377">
      <w:pPr>
        <w:rPr>
          <w:b/>
          <w:bCs/>
        </w:rPr>
      </w:pPr>
    </w:p>
    <w:p w14:paraId="04D8BCC7" w14:textId="77777777" w:rsidR="00FD1377" w:rsidRDefault="00FD1377">
      <w:pPr>
        <w:rPr>
          <w:b/>
          <w:bCs/>
        </w:rPr>
      </w:pPr>
      <w:r>
        <w:rPr>
          <w:b/>
          <w:bCs/>
        </w:rPr>
        <w:br w:type="page"/>
      </w:r>
    </w:p>
    <w:p w14:paraId="324D3263" w14:textId="17B1BD11" w:rsidR="00FD1377" w:rsidRPr="00821155" w:rsidRDefault="004563F5">
      <w:pPr>
        <w:rPr>
          <w:b/>
          <w:bCs/>
        </w:rPr>
      </w:pPr>
      <w:r w:rsidRPr="00E82F74">
        <w:rPr>
          <w:b/>
          <w:bCs/>
        </w:rPr>
        <w:lastRenderedPageBreak/>
        <w:t>Tabulka pro převod bodového hodnocení na známku</w:t>
      </w:r>
    </w:p>
    <w:tbl>
      <w:tblPr>
        <w:tblStyle w:val="Mkatabulky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975"/>
        <w:gridCol w:w="1840"/>
        <w:gridCol w:w="1977"/>
        <w:gridCol w:w="1699"/>
        <w:gridCol w:w="1551"/>
      </w:tblGrid>
      <w:tr w:rsidR="00DF4405" w:rsidRPr="00AA66F6" w14:paraId="02EA2FBA" w14:textId="77777777" w:rsidTr="00821155">
        <w:trPr>
          <w:trHeight w:val="113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00478E" w14:textId="00A0B765" w:rsidR="00DF4405" w:rsidRPr="00AA66F6" w:rsidRDefault="00DF4405" w:rsidP="00821155">
            <w:pPr>
              <w:spacing w:line="276" w:lineRule="auto"/>
              <w:jc w:val="center"/>
              <w:rPr>
                <w:b/>
                <w:bCs/>
              </w:rPr>
            </w:pPr>
            <w:r w:rsidRPr="00AA66F6">
              <w:rPr>
                <w:b/>
                <w:bCs/>
              </w:rPr>
              <w:t>Hranice úspěšnosti</w:t>
            </w:r>
          </w:p>
          <w:p w14:paraId="6D606445" w14:textId="7374E84A" w:rsidR="00DF4405" w:rsidRPr="00AA66F6" w:rsidRDefault="00DF4405" w:rsidP="00821155">
            <w:pPr>
              <w:spacing w:line="276" w:lineRule="auto"/>
              <w:jc w:val="center"/>
              <w:rPr>
                <w:b/>
                <w:bCs/>
              </w:rPr>
            </w:pPr>
            <w:r w:rsidRPr="00AA66F6">
              <w:rPr>
                <w:b/>
                <w:bCs/>
              </w:rPr>
              <w:t>zkoušky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3983D" w14:textId="447B0D94" w:rsidR="00DF4405" w:rsidRPr="00AA66F6" w:rsidRDefault="00DF4405" w:rsidP="00821155">
            <w:pPr>
              <w:spacing w:line="276" w:lineRule="auto"/>
              <w:jc w:val="center"/>
              <w:rPr>
                <w:b/>
                <w:bCs/>
              </w:rPr>
            </w:pPr>
            <w:r w:rsidRPr="00AA66F6">
              <w:rPr>
                <w:b/>
                <w:bCs/>
              </w:rPr>
              <w:t>4</w:t>
            </w:r>
          </w:p>
          <w:p w14:paraId="0D2428AA" w14:textId="77777777" w:rsidR="00DF4405" w:rsidRPr="00AA66F6" w:rsidRDefault="00DF4405" w:rsidP="00821155">
            <w:pPr>
              <w:spacing w:line="276" w:lineRule="auto"/>
              <w:jc w:val="center"/>
              <w:rPr>
                <w:b/>
                <w:bCs/>
              </w:rPr>
            </w:pPr>
            <w:r w:rsidRPr="00AA66F6">
              <w:rPr>
                <w:b/>
                <w:bCs/>
              </w:rPr>
              <w:t>(dostatečný)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8C6B1" w14:textId="7A4D39CE" w:rsidR="00DF4405" w:rsidRPr="00AA66F6" w:rsidRDefault="00DF4405" w:rsidP="00821155">
            <w:pPr>
              <w:spacing w:line="276" w:lineRule="auto"/>
              <w:jc w:val="center"/>
              <w:rPr>
                <w:b/>
                <w:bCs/>
              </w:rPr>
            </w:pPr>
            <w:r w:rsidRPr="00AA66F6">
              <w:rPr>
                <w:b/>
                <w:bCs/>
              </w:rPr>
              <w:t>3</w:t>
            </w:r>
          </w:p>
          <w:p w14:paraId="002B5257" w14:textId="77777777" w:rsidR="00DF4405" w:rsidRPr="00AA66F6" w:rsidRDefault="00DF4405" w:rsidP="00821155">
            <w:pPr>
              <w:spacing w:line="276" w:lineRule="auto"/>
              <w:jc w:val="center"/>
              <w:rPr>
                <w:b/>
                <w:bCs/>
              </w:rPr>
            </w:pPr>
            <w:r w:rsidRPr="00AA66F6">
              <w:rPr>
                <w:b/>
                <w:bCs/>
              </w:rPr>
              <w:t>(dobrý)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28583" w14:textId="0E870D1B" w:rsidR="00DF4405" w:rsidRPr="00AA66F6" w:rsidRDefault="00DF4405" w:rsidP="00821155">
            <w:pPr>
              <w:spacing w:line="276" w:lineRule="auto"/>
              <w:jc w:val="center"/>
              <w:rPr>
                <w:b/>
                <w:bCs/>
              </w:rPr>
            </w:pPr>
            <w:r w:rsidRPr="00AA66F6">
              <w:rPr>
                <w:b/>
                <w:bCs/>
              </w:rPr>
              <w:t>2</w:t>
            </w:r>
          </w:p>
          <w:p w14:paraId="10C8A505" w14:textId="77777777" w:rsidR="00DF4405" w:rsidRPr="00AA66F6" w:rsidRDefault="00DF4405" w:rsidP="00821155">
            <w:pPr>
              <w:spacing w:line="276" w:lineRule="auto"/>
              <w:jc w:val="center"/>
              <w:rPr>
                <w:b/>
                <w:bCs/>
              </w:rPr>
            </w:pPr>
            <w:r w:rsidRPr="00AA66F6">
              <w:rPr>
                <w:b/>
                <w:bCs/>
              </w:rPr>
              <w:t>(chvalitebný)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F7C06" w14:textId="3DDE4689" w:rsidR="00DF4405" w:rsidRPr="00AA66F6" w:rsidRDefault="00DF4405" w:rsidP="00821155">
            <w:pPr>
              <w:spacing w:line="276" w:lineRule="auto"/>
              <w:jc w:val="center"/>
              <w:rPr>
                <w:b/>
                <w:bCs/>
              </w:rPr>
            </w:pPr>
            <w:r w:rsidRPr="00AA66F6">
              <w:rPr>
                <w:b/>
                <w:bCs/>
              </w:rPr>
              <w:t>1</w:t>
            </w:r>
          </w:p>
          <w:p w14:paraId="5BF5E1F4" w14:textId="77777777" w:rsidR="00DF4405" w:rsidRPr="00AA66F6" w:rsidRDefault="00DF4405" w:rsidP="00821155">
            <w:pPr>
              <w:spacing w:line="276" w:lineRule="auto"/>
              <w:jc w:val="center"/>
              <w:rPr>
                <w:b/>
                <w:bCs/>
              </w:rPr>
            </w:pPr>
            <w:r w:rsidRPr="00AA66F6">
              <w:rPr>
                <w:b/>
                <w:bCs/>
              </w:rPr>
              <w:t>(výborný)</w:t>
            </w:r>
          </w:p>
        </w:tc>
      </w:tr>
      <w:tr w:rsidR="00DF4405" w:rsidRPr="00456335" w14:paraId="27B9807B" w14:textId="77777777" w:rsidTr="00AA66F6">
        <w:trPr>
          <w:trHeight w:val="1205"/>
        </w:trPr>
        <w:tc>
          <w:tcPr>
            <w:tcW w:w="1980" w:type="dxa"/>
            <w:tcBorders>
              <w:top w:val="single" w:sz="12" w:space="0" w:color="auto"/>
            </w:tcBorders>
          </w:tcPr>
          <w:p w14:paraId="6D359D21" w14:textId="77777777" w:rsidR="00DF4405" w:rsidRPr="00456335" w:rsidRDefault="00DF4405" w:rsidP="00DF4405">
            <w:pPr>
              <w:spacing w:line="480" w:lineRule="auto"/>
              <w:jc w:val="center"/>
            </w:pPr>
          </w:p>
          <w:p w14:paraId="3CD9DB6D" w14:textId="77777777" w:rsidR="00DF4405" w:rsidRPr="00456335" w:rsidRDefault="00DF4405" w:rsidP="00DF4405">
            <w:pPr>
              <w:spacing w:line="480" w:lineRule="auto"/>
              <w:jc w:val="center"/>
            </w:pPr>
            <w:r w:rsidRPr="00456335">
              <w:t>13 bodů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CC3A650" w14:textId="77777777" w:rsidR="00DF4405" w:rsidRPr="00456335" w:rsidRDefault="00DF4405" w:rsidP="00DF4405">
            <w:pPr>
              <w:spacing w:line="480" w:lineRule="auto"/>
              <w:jc w:val="center"/>
            </w:pPr>
          </w:p>
          <w:p w14:paraId="48D00A01" w14:textId="77777777" w:rsidR="00DF4405" w:rsidRPr="00456335" w:rsidRDefault="00DF4405" w:rsidP="00DF4405">
            <w:pPr>
              <w:spacing w:line="480" w:lineRule="auto"/>
              <w:jc w:val="center"/>
            </w:pPr>
            <w:r w:rsidRPr="00456335">
              <w:t>13-16 bodů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701C9204" w14:textId="77777777" w:rsidR="00DF4405" w:rsidRPr="00456335" w:rsidRDefault="00DF4405" w:rsidP="00DF4405">
            <w:pPr>
              <w:spacing w:line="480" w:lineRule="auto"/>
              <w:jc w:val="center"/>
            </w:pPr>
          </w:p>
          <w:p w14:paraId="131A9280" w14:textId="77777777" w:rsidR="00DF4405" w:rsidRPr="00456335" w:rsidRDefault="00DF4405" w:rsidP="00DF4405">
            <w:pPr>
              <w:spacing w:line="480" w:lineRule="auto"/>
              <w:jc w:val="center"/>
            </w:pPr>
            <w:r w:rsidRPr="00456335">
              <w:t>17-22 bodů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D72F377" w14:textId="77777777" w:rsidR="00DF4405" w:rsidRPr="00456335" w:rsidRDefault="00DF4405" w:rsidP="00DF4405">
            <w:pPr>
              <w:spacing w:line="480" w:lineRule="auto"/>
              <w:jc w:val="center"/>
            </w:pPr>
          </w:p>
          <w:p w14:paraId="3DF31A8F" w14:textId="77777777" w:rsidR="00DF4405" w:rsidRPr="00456335" w:rsidRDefault="00DF4405" w:rsidP="00DF4405">
            <w:pPr>
              <w:spacing w:line="480" w:lineRule="auto"/>
              <w:jc w:val="center"/>
            </w:pPr>
            <w:r w:rsidRPr="00456335">
              <w:t>23-25 bodů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14:paraId="324EC361" w14:textId="77777777" w:rsidR="00DF4405" w:rsidRPr="00456335" w:rsidRDefault="00DF4405" w:rsidP="00DF4405">
            <w:pPr>
              <w:spacing w:line="480" w:lineRule="auto"/>
              <w:jc w:val="center"/>
            </w:pPr>
          </w:p>
          <w:p w14:paraId="12AA3B81" w14:textId="77777777" w:rsidR="00DF4405" w:rsidRPr="00456335" w:rsidRDefault="00DF4405" w:rsidP="00DF4405">
            <w:pPr>
              <w:spacing w:line="480" w:lineRule="auto"/>
              <w:jc w:val="center"/>
            </w:pPr>
            <w:r w:rsidRPr="00456335">
              <w:t>26-28 bodů</w:t>
            </w:r>
          </w:p>
        </w:tc>
      </w:tr>
    </w:tbl>
    <w:p w14:paraId="6E0E978F" w14:textId="77777777" w:rsidR="0011326C" w:rsidRDefault="0011326C" w:rsidP="00AA66F6"/>
    <w:sectPr w:rsidR="0011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445"/>
    <w:multiLevelType w:val="hybridMultilevel"/>
    <w:tmpl w:val="044660D8"/>
    <w:lvl w:ilvl="0" w:tplc="EB444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60E"/>
    <w:multiLevelType w:val="hybridMultilevel"/>
    <w:tmpl w:val="24309778"/>
    <w:lvl w:ilvl="0" w:tplc="14BE2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910DF"/>
    <w:multiLevelType w:val="hybridMultilevel"/>
    <w:tmpl w:val="73EEE1F4"/>
    <w:lvl w:ilvl="0" w:tplc="AC84B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97D2E"/>
    <w:multiLevelType w:val="hybridMultilevel"/>
    <w:tmpl w:val="BFD4AF2C"/>
    <w:lvl w:ilvl="0" w:tplc="ED6E4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50893">
    <w:abstractNumId w:val="3"/>
  </w:num>
  <w:num w:numId="2" w16cid:durableId="899823522">
    <w:abstractNumId w:val="1"/>
  </w:num>
  <w:num w:numId="3" w16cid:durableId="2145004342">
    <w:abstractNumId w:val="0"/>
  </w:num>
  <w:num w:numId="4" w16cid:durableId="1770271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F3"/>
    <w:rsid w:val="0008466F"/>
    <w:rsid w:val="000B07EF"/>
    <w:rsid w:val="0011326C"/>
    <w:rsid w:val="002623E7"/>
    <w:rsid w:val="002E279B"/>
    <w:rsid w:val="003A19F3"/>
    <w:rsid w:val="003D442D"/>
    <w:rsid w:val="00456335"/>
    <w:rsid w:val="004563F5"/>
    <w:rsid w:val="0058613E"/>
    <w:rsid w:val="005E33CC"/>
    <w:rsid w:val="00625708"/>
    <w:rsid w:val="006C5A31"/>
    <w:rsid w:val="006F4944"/>
    <w:rsid w:val="00821155"/>
    <w:rsid w:val="00927823"/>
    <w:rsid w:val="009562E5"/>
    <w:rsid w:val="00A43CE1"/>
    <w:rsid w:val="00AA46DB"/>
    <w:rsid w:val="00AA66F6"/>
    <w:rsid w:val="00C55ED7"/>
    <w:rsid w:val="00C81699"/>
    <w:rsid w:val="00D94379"/>
    <w:rsid w:val="00DF4405"/>
    <w:rsid w:val="00E33BD7"/>
    <w:rsid w:val="00E82F74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E1D8"/>
  <w15:chartTrackingRefBased/>
  <w15:docId w15:val="{EC049032-960D-495A-9DCB-6A0F193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E33CC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E33CC"/>
    <w:pPr>
      <w:keepNext/>
      <w:spacing w:after="0" w:line="360" w:lineRule="auto"/>
      <w:jc w:val="center"/>
      <w:outlineLvl w:val="0"/>
    </w:pPr>
    <w:rPr>
      <w:rFonts w:eastAsia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5A3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E33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5E33CC"/>
    <w:pPr>
      <w:tabs>
        <w:tab w:val="center" w:pos="4536"/>
        <w:tab w:val="right" w:pos="9072"/>
      </w:tabs>
      <w:spacing w:after="0" w:line="36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5E33C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Holešínská</dc:creator>
  <cp:keywords/>
  <dc:description/>
  <cp:lastModifiedBy>studijni6 studijni6</cp:lastModifiedBy>
  <cp:revision>17</cp:revision>
  <dcterms:created xsi:type="dcterms:W3CDTF">2022-04-12T11:15:00Z</dcterms:created>
  <dcterms:modified xsi:type="dcterms:W3CDTF">2023-09-22T05:34:00Z</dcterms:modified>
</cp:coreProperties>
</file>